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4" w:rsidRPr="001A51E9" w:rsidRDefault="00AE62F4" w:rsidP="00AE62F4">
      <w:pPr>
        <w:pStyle w:val="Heading3"/>
        <w:keepNext w:val="0"/>
        <w:tabs>
          <w:tab w:val="clear" w:pos="555"/>
          <w:tab w:val="left" w:pos="1021"/>
        </w:tabs>
        <w:spacing w:before="360"/>
        <w:ind w:left="1021" w:hanging="1021"/>
        <w:rPr>
          <w:color w:val="auto"/>
          <w:sz w:val="20"/>
        </w:rPr>
      </w:pPr>
      <w:r w:rsidRPr="001A51E9">
        <w:rPr>
          <w:rFonts w:cs="Arial"/>
          <w:color w:val="auto"/>
          <w:sz w:val="20"/>
        </w:rPr>
        <w:t>3.</w:t>
      </w:r>
      <w:r w:rsidRPr="001A51E9">
        <w:rPr>
          <w:color w:val="auto"/>
          <w:sz w:val="20"/>
        </w:rPr>
        <w:t>2</w:t>
      </w:r>
      <w:proofErr w:type="gramStart"/>
      <w:r w:rsidRPr="001A51E9">
        <w:rPr>
          <w:color w:val="auto"/>
          <w:sz w:val="20"/>
        </w:rPr>
        <w:t>.R.1.</w:t>
      </w:r>
      <w:r w:rsidRPr="000F68D1">
        <w:rPr>
          <w:strike/>
          <w:color w:val="auto"/>
          <w:sz w:val="20"/>
        </w:rPr>
        <w:t>4</w:t>
      </w:r>
      <w:proofErr w:type="gramEnd"/>
      <w:r w:rsidRPr="001A51E9">
        <w:rPr>
          <w:color w:val="auto"/>
          <w:sz w:val="20"/>
        </w:rPr>
        <w:tab/>
      </w:r>
      <w:bookmarkStart w:id="0" w:name="Pharmaceutical_availability"/>
      <w:bookmarkEnd w:id="0"/>
      <w:r w:rsidRPr="001A51E9">
        <w:rPr>
          <w:color w:val="auto"/>
          <w:sz w:val="20"/>
        </w:rPr>
        <w:t>Pharmaceutical availability studies</w:t>
      </w:r>
    </w:p>
    <w:p w:rsidR="00AE62F4" w:rsidRDefault="00AE62F4" w:rsidP="00AE62F4">
      <w:pPr>
        <w:tabs>
          <w:tab w:val="left" w:pos="1361"/>
          <w:tab w:val="left" w:pos="5196"/>
        </w:tabs>
        <w:spacing w:before="120"/>
        <w:ind w:left="1361" w:hanging="1361"/>
        <w:rPr>
          <w:rFonts w:ascii="Arial" w:hAnsi="Arial"/>
          <w:b w:val="0"/>
          <w:snapToGrid w:val="0"/>
          <w:sz w:val="20"/>
        </w:rPr>
      </w:pPr>
      <w:r w:rsidRPr="00224864">
        <w:rPr>
          <w:rFonts w:ascii="Arial" w:hAnsi="Arial"/>
          <w:b w:val="0"/>
          <w:snapToGrid w:val="0"/>
          <w:sz w:val="20"/>
        </w:rPr>
        <w:t>3.2</w:t>
      </w:r>
      <w:proofErr w:type="gramStart"/>
      <w:r w:rsidRPr="00224864">
        <w:rPr>
          <w:rFonts w:ascii="Arial" w:hAnsi="Arial"/>
          <w:b w:val="0"/>
          <w:snapToGrid w:val="0"/>
          <w:sz w:val="20"/>
        </w:rPr>
        <w:t>.R.1.</w:t>
      </w:r>
      <w:r>
        <w:rPr>
          <w:rFonts w:ascii="Arial" w:hAnsi="Arial"/>
          <w:b w:val="0"/>
          <w:snapToGrid w:val="0"/>
          <w:sz w:val="20"/>
        </w:rPr>
        <w:t>4</w:t>
      </w:r>
      <w:r w:rsidRPr="00224864">
        <w:rPr>
          <w:rFonts w:ascii="Arial" w:hAnsi="Arial"/>
          <w:b w:val="0"/>
          <w:snapToGrid w:val="0"/>
          <w:sz w:val="20"/>
        </w:rPr>
        <w:t>.1</w:t>
      </w:r>
      <w:proofErr w:type="gramEnd"/>
      <w:r w:rsidRPr="00224864">
        <w:rPr>
          <w:rFonts w:ascii="Arial" w:hAnsi="Arial"/>
          <w:b w:val="0"/>
          <w:snapToGrid w:val="0"/>
          <w:sz w:val="20"/>
        </w:rPr>
        <w:tab/>
        <w:t>Dissolution studies, data and reports</w:t>
      </w:r>
    </w:p>
    <w:p w:rsidR="00AE62F4" w:rsidRPr="00920435" w:rsidRDefault="00AE62F4" w:rsidP="00AE62F4">
      <w:pPr>
        <w:numPr>
          <w:ilvl w:val="0"/>
          <w:numId w:val="1"/>
        </w:numPr>
        <w:tabs>
          <w:tab w:val="left" w:pos="1814"/>
        </w:tabs>
        <w:ind w:left="1815" w:hanging="454"/>
        <w:rPr>
          <w:rFonts w:ascii="Arial" w:hAnsi="Arial"/>
          <w:b w:val="0"/>
          <w:sz w:val="20"/>
        </w:rPr>
      </w:pPr>
      <w:r w:rsidRPr="00920435">
        <w:rPr>
          <w:rFonts w:ascii="Arial" w:hAnsi="Arial"/>
          <w:b w:val="0"/>
          <w:sz w:val="20"/>
        </w:rPr>
        <w:t>Dissolution profiles of the test and reference products</w:t>
      </w:r>
    </w:p>
    <w:p w:rsidR="00AE62F4" w:rsidRPr="00920435" w:rsidRDefault="00AE62F4" w:rsidP="00AE62F4">
      <w:pPr>
        <w:numPr>
          <w:ilvl w:val="0"/>
          <w:numId w:val="1"/>
        </w:numPr>
        <w:tabs>
          <w:tab w:val="left" w:pos="1814"/>
        </w:tabs>
        <w:ind w:left="1815" w:hanging="454"/>
        <w:rPr>
          <w:rFonts w:ascii="Arial" w:hAnsi="Arial"/>
          <w:b w:val="0"/>
          <w:sz w:val="20"/>
        </w:rPr>
      </w:pPr>
      <w:r w:rsidRPr="00920435">
        <w:rPr>
          <w:rFonts w:ascii="Arial" w:hAnsi="Arial"/>
          <w:b w:val="0"/>
          <w:sz w:val="20"/>
        </w:rPr>
        <w:t>Comparative dissolution between foreign reference product and RSA registered innovator product (if applicable)</w:t>
      </w:r>
    </w:p>
    <w:p w:rsidR="00AE62F4" w:rsidRPr="00920435" w:rsidRDefault="00AE62F4" w:rsidP="00AE62F4">
      <w:pPr>
        <w:numPr>
          <w:ilvl w:val="0"/>
          <w:numId w:val="1"/>
        </w:numPr>
        <w:tabs>
          <w:tab w:val="left" w:pos="1814"/>
        </w:tabs>
        <w:ind w:left="1815" w:hanging="454"/>
        <w:rPr>
          <w:rFonts w:ascii="Arial" w:hAnsi="Arial"/>
          <w:b w:val="0"/>
          <w:sz w:val="20"/>
        </w:rPr>
      </w:pPr>
      <w:r w:rsidRPr="00920435">
        <w:rPr>
          <w:rFonts w:ascii="Arial" w:hAnsi="Arial"/>
          <w:b w:val="0"/>
          <w:sz w:val="20"/>
        </w:rPr>
        <w:t>Comparative dissolution between different strengths of the test product (</w:t>
      </w:r>
      <w:proofErr w:type="spellStart"/>
      <w:r w:rsidRPr="00920435">
        <w:rPr>
          <w:rFonts w:ascii="Arial" w:hAnsi="Arial"/>
          <w:b w:val="0"/>
          <w:sz w:val="20"/>
        </w:rPr>
        <w:t>biowaiver</w:t>
      </w:r>
      <w:proofErr w:type="spellEnd"/>
      <w:r w:rsidRPr="00920435">
        <w:rPr>
          <w:rFonts w:ascii="Arial" w:hAnsi="Arial"/>
          <w:b w:val="0"/>
          <w:sz w:val="20"/>
        </w:rPr>
        <w:t xml:space="preserve"> of additional strengths) </w:t>
      </w:r>
    </w:p>
    <w:p w:rsidR="00AE62F4" w:rsidRPr="00920435" w:rsidRDefault="00AE62F4" w:rsidP="00AE62F4">
      <w:pPr>
        <w:numPr>
          <w:ilvl w:val="0"/>
          <w:numId w:val="1"/>
        </w:numPr>
        <w:tabs>
          <w:tab w:val="left" w:pos="1814"/>
        </w:tabs>
        <w:ind w:left="1815" w:hanging="454"/>
        <w:rPr>
          <w:rFonts w:ascii="Arial" w:hAnsi="Arial"/>
          <w:b w:val="0"/>
          <w:sz w:val="20"/>
        </w:rPr>
      </w:pPr>
      <w:r w:rsidRPr="00920435">
        <w:rPr>
          <w:rFonts w:ascii="Arial" w:hAnsi="Arial"/>
          <w:b w:val="0"/>
          <w:sz w:val="20"/>
        </w:rPr>
        <w:t xml:space="preserve">Comparative dissolution between test and reference products (BCS </w:t>
      </w:r>
      <w:proofErr w:type="spellStart"/>
      <w:r w:rsidRPr="00920435">
        <w:rPr>
          <w:rFonts w:ascii="Arial" w:hAnsi="Arial"/>
          <w:b w:val="0"/>
          <w:sz w:val="20"/>
        </w:rPr>
        <w:t>biowaiver</w:t>
      </w:r>
      <w:proofErr w:type="spellEnd"/>
      <w:r w:rsidRPr="00920435">
        <w:rPr>
          <w:rFonts w:ascii="Arial" w:hAnsi="Arial"/>
          <w:b w:val="0"/>
          <w:sz w:val="20"/>
        </w:rPr>
        <w:t>)</w:t>
      </w:r>
    </w:p>
    <w:p w:rsidR="00AE62F4" w:rsidRPr="00AE62F4" w:rsidRDefault="00AE62F4" w:rsidP="00AE62F4">
      <w:pPr>
        <w:numPr>
          <w:ilvl w:val="0"/>
          <w:numId w:val="1"/>
        </w:numPr>
        <w:tabs>
          <w:tab w:val="left" w:pos="1814"/>
        </w:tabs>
        <w:spacing w:after="0"/>
        <w:ind w:left="1815" w:hanging="454"/>
        <w:rPr>
          <w:rFonts w:ascii="Arial" w:hAnsi="Arial"/>
          <w:b w:val="0"/>
          <w:sz w:val="20"/>
          <w:highlight w:val="yellow"/>
        </w:rPr>
      </w:pPr>
      <w:r w:rsidRPr="00AE62F4">
        <w:rPr>
          <w:rFonts w:ascii="Arial" w:hAnsi="Arial"/>
          <w:b w:val="0"/>
          <w:sz w:val="20"/>
          <w:highlight w:val="yellow"/>
        </w:rPr>
        <w:t>Comparative dissolution data in support of:</w:t>
      </w:r>
    </w:p>
    <w:p w:rsidR="00AE62F4" w:rsidRPr="00AE62F4" w:rsidRDefault="00AE62F4" w:rsidP="00AE62F4">
      <w:pPr>
        <w:numPr>
          <w:ilvl w:val="0"/>
          <w:numId w:val="2"/>
        </w:numPr>
        <w:tabs>
          <w:tab w:val="left" w:pos="1814"/>
        </w:tabs>
        <w:spacing w:after="0"/>
        <w:ind w:left="2171" w:hanging="357"/>
        <w:rPr>
          <w:rFonts w:ascii="Arial" w:hAnsi="Arial"/>
          <w:b w:val="0"/>
          <w:sz w:val="20"/>
          <w:highlight w:val="yellow"/>
        </w:rPr>
      </w:pPr>
      <w:r w:rsidRPr="00AE62F4">
        <w:rPr>
          <w:rFonts w:ascii="Arial" w:hAnsi="Arial"/>
          <w:b w:val="0"/>
          <w:sz w:val="20"/>
          <w:highlight w:val="yellow"/>
        </w:rPr>
        <w:t>additional or different API manufacturer</w:t>
      </w:r>
    </w:p>
    <w:p w:rsidR="00AE62F4" w:rsidRPr="00267BD4" w:rsidRDefault="00AE62F4" w:rsidP="00AE62F4">
      <w:pPr>
        <w:numPr>
          <w:ilvl w:val="0"/>
          <w:numId w:val="2"/>
        </w:numPr>
        <w:tabs>
          <w:tab w:val="left" w:pos="1814"/>
        </w:tabs>
        <w:spacing w:after="0"/>
        <w:ind w:left="2171" w:hanging="357"/>
        <w:rPr>
          <w:rFonts w:ascii="Arial" w:hAnsi="Arial"/>
          <w:b w:val="0"/>
          <w:sz w:val="20"/>
        </w:rPr>
      </w:pPr>
      <w:r w:rsidRPr="00267BD4">
        <w:rPr>
          <w:rFonts w:ascii="Arial" w:hAnsi="Arial"/>
          <w:b w:val="0"/>
          <w:sz w:val="20"/>
        </w:rPr>
        <w:t>additional or different FPP manufacturer and/or site</w:t>
      </w:r>
    </w:p>
    <w:p w:rsidR="00AE62F4" w:rsidRPr="00267BD4" w:rsidRDefault="00AE62F4" w:rsidP="00AE62F4">
      <w:pPr>
        <w:numPr>
          <w:ilvl w:val="0"/>
          <w:numId w:val="2"/>
        </w:numPr>
        <w:tabs>
          <w:tab w:val="left" w:pos="1814"/>
        </w:tabs>
        <w:spacing w:after="0"/>
        <w:ind w:left="2171" w:hanging="357"/>
        <w:rPr>
          <w:rFonts w:ascii="Arial" w:hAnsi="Arial"/>
          <w:b w:val="0"/>
          <w:sz w:val="20"/>
        </w:rPr>
      </w:pPr>
      <w:r w:rsidRPr="00267BD4">
        <w:rPr>
          <w:rFonts w:ascii="Arial" w:hAnsi="Arial"/>
          <w:b w:val="0"/>
          <w:sz w:val="20"/>
        </w:rPr>
        <w:t>different formulation</w:t>
      </w:r>
    </w:p>
    <w:p w:rsidR="00AE62F4" w:rsidRPr="00267BD4" w:rsidRDefault="00AE62F4" w:rsidP="00AE62F4">
      <w:pPr>
        <w:tabs>
          <w:tab w:val="left" w:pos="1701"/>
        </w:tabs>
        <w:spacing w:before="60" w:line="240" w:lineRule="atLeast"/>
        <w:ind w:left="1814" w:firstLine="0"/>
        <w:rPr>
          <w:rFonts w:ascii="Arial" w:hAnsi="Arial" w:cs="Arial"/>
          <w:b w:val="0"/>
          <w:sz w:val="20"/>
        </w:rPr>
      </w:pPr>
      <w:proofErr w:type="gramStart"/>
      <w:r w:rsidRPr="00267BD4">
        <w:rPr>
          <w:rFonts w:ascii="Arial" w:hAnsi="Arial" w:cs="Arial"/>
          <w:b w:val="0"/>
          <w:sz w:val="20"/>
        </w:rPr>
        <w:t>being</w:t>
      </w:r>
      <w:proofErr w:type="gramEnd"/>
      <w:r w:rsidRPr="00267BD4">
        <w:rPr>
          <w:rFonts w:ascii="Arial" w:hAnsi="Arial" w:cs="Arial"/>
          <w:b w:val="0"/>
          <w:sz w:val="20"/>
        </w:rPr>
        <w:t xml:space="preserve"> applied for to that of the test product.</w:t>
      </w:r>
    </w:p>
    <w:p w:rsidR="00AE62F4" w:rsidRPr="00920435" w:rsidRDefault="00AE62F4" w:rsidP="00AE62F4">
      <w:pPr>
        <w:tabs>
          <w:tab w:val="left" w:pos="1361"/>
          <w:tab w:val="left" w:pos="1843"/>
        </w:tabs>
        <w:spacing w:before="120"/>
        <w:ind w:left="1361" w:hanging="1361"/>
        <w:rPr>
          <w:rFonts w:ascii="Arial" w:hAnsi="Arial"/>
          <w:b w:val="0"/>
          <w:sz w:val="20"/>
        </w:rPr>
      </w:pPr>
      <w:r w:rsidRPr="00224864">
        <w:rPr>
          <w:rFonts w:ascii="Arial" w:hAnsi="Arial"/>
          <w:b w:val="0"/>
          <w:snapToGrid w:val="0"/>
          <w:sz w:val="20"/>
        </w:rPr>
        <w:t>3.2</w:t>
      </w:r>
      <w:proofErr w:type="gramStart"/>
      <w:r w:rsidRPr="00224864">
        <w:rPr>
          <w:rFonts w:ascii="Arial" w:hAnsi="Arial"/>
          <w:b w:val="0"/>
          <w:snapToGrid w:val="0"/>
          <w:sz w:val="20"/>
        </w:rPr>
        <w:t>.R.1.</w:t>
      </w:r>
      <w:r>
        <w:rPr>
          <w:rFonts w:ascii="Arial" w:hAnsi="Arial"/>
          <w:b w:val="0"/>
          <w:snapToGrid w:val="0"/>
          <w:sz w:val="20"/>
        </w:rPr>
        <w:t>4</w:t>
      </w:r>
      <w:r w:rsidRPr="00224864">
        <w:rPr>
          <w:rFonts w:ascii="Arial" w:hAnsi="Arial"/>
          <w:b w:val="0"/>
          <w:snapToGrid w:val="0"/>
          <w:sz w:val="20"/>
        </w:rPr>
        <w:t>.2</w:t>
      </w:r>
      <w:proofErr w:type="gramEnd"/>
      <w:r w:rsidRPr="00224864">
        <w:rPr>
          <w:rFonts w:ascii="Arial" w:hAnsi="Arial"/>
          <w:b w:val="0"/>
          <w:snapToGrid w:val="0"/>
          <w:sz w:val="20"/>
        </w:rPr>
        <w:tab/>
      </w:r>
      <w:r w:rsidRPr="00920435">
        <w:rPr>
          <w:rFonts w:ascii="Arial" w:hAnsi="Arial"/>
          <w:b w:val="0"/>
          <w:sz w:val="20"/>
        </w:rPr>
        <w:t>1)</w:t>
      </w:r>
      <w:r w:rsidRPr="00920435">
        <w:rPr>
          <w:rFonts w:ascii="Arial" w:hAnsi="Arial"/>
          <w:b w:val="0"/>
          <w:sz w:val="20"/>
        </w:rPr>
        <w:tab/>
        <w:t>Other</w:t>
      </w:r>
    </w:p>
    <w:p w:rsidR="00AE62F4" w:rsidRPr="00267BD4" w:rsidRDefault="00AE62F4" w:rsidP="00AE62F4">
      <w:pPr>
        <w:numPr>
          <w:ilvl w:val="0"/>
          <w:numId w:val="3"/>
        </w:numPr>
        <w:tabs>
          <w:tab w:val="left" w:pos="1814"/>
        </w:tabs>
        <w:spacing w:after="0"/>
        <w:ind w:left="1718" w:hanging="357"/>
        <w:rPr>
          <w:rFonts w:ascii="Arial" w:hAnsi="Arial"/>
          <w:b w:val="0"/>
          <w:sz w:val="20"/>
        </w:rPr>
      </w:pPr>
      <w:r w:rsidRPr="00267BD4">
        <w:rPr>
          <w:rFonts w:ascii="Arial" w:hAnsi="Arial"/>
          <w:b w:val="0"/>
          <w:sz w:val="20"/>
        </w:rPr>
        <w:t>Motivation for exemption of data to substantiate efficacy.</w:t>
      </w:r>
    </w:p>
    <w:p w:rsidR="00AE62F4" w:rsidRPr="00267BD4" w:rsidRDefault="00AE62F4" w:rsidP="00AE62F4">
      <w:pPr>
        <w:spacing w:after="0" w:line="240" w:lineRule="atLeast"/>
        <w:ind w:left="1843" w:firstLine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If in the opinion of the applicant no data are required to substantiate efficacy (e.g. </w:t>
      </w:r>
      <w:proofErr w:type="spellStart"/>
      <w:r>
        <w:rPr>
          <w:rFonts w:ascii="Arial" w:hAnsi="Arial"/>
          <w:b w:val="0"/>
          <w:sz w:val="20"/>
        </w:rPr>
        <w:t>parenteral</w:t>
      </w:r>
      <w:proofErr w:type="spellEnd"/>
      <w:r>
        <w:rPr>
          <w:rFonts w:ascii="Arial" w:hAnsi="Arial"/>
          <w:b w:val="0"/>
          <w:sz w:val="20"/>
        </w:rPr>
        <w:t xml:space="preserve"> solutions) the rationale for accepting safety and efficacy should be clearly stated </w:t>
      </w:r>
      <w:r w:rsidRPr="00C96C3D">
        <w:rPr>
          <w:rFonts w:ascii="Arial" w:hAnsi="Arial"/>
          <w:b w:val="0"/>
          <w:sz w:val="20"/>
        </w:rPr>
        <w:t xml:space="preserve">and include a discussion on the </w:t>
      </w:r>
      <w:proofErr w:type="spellStart"/>
      <w:r w:rsidRPr="00C96C3D">
        <w:rPr>
          <w:rFonts w:ascii="Arial" w:hAnsi="Arial"/>
          <w:b w:val="0"/>
          <w:sz w:val="20"/>
        </w:rPr>
        <w:t>excipients</w:t>
      </w:r>
      <w:proofErr w:type="spellEnd"/>
      <w:r w:rsidRPr="00C96C3D">
        <w:rPr>
          <w:rFonts w:ascii="Arial" w:hAnsi="Arial"/>
          <w:b w:val="0"/>
          <w:sz w:val="20"/>
        </w:rPr>
        <w:t xml:space="preserve"> (refer </w:t>
      </w:r>
      <w:proofErr w:type="spellStart"/>
      <w:r w:rsidRPr="00C96C3D">
        <w:rPr>
          <w:rFonts w:ascii="Arial" w:hAnsi="Arial"/>
          <w:b w:val="0"/>
          <w:sz w:val="20"/>
        </w:rPr>
        <w:t>Biostudies</w:t>
      </w:r>
      <w:proofErr w:type="spellEnd"/>
      <w:r w:rsidRPr="00C96C3D">
        <w:rPr>
          <w:rFonts w:ascii="Arial" w:hAnsi="Arial"/>
          <w:b w:val="0"/>
          <w:sz w:val="20"/>
        </w:rPr>
        <w:t xml:space="preserve"> guideline section 4)</w:t>
      </w:r>
      <w:r>
        <w:rPr>
          <w:rFonts w:ascii="Arial" w:hAnsi="Arial"/>
          <w:b w:val="0"/>
          <w:sz w:val="20"/>
        </w:rPr>
        <w:t xml:space="preserve">, </w:t>
      </w:r>
      <w:r w:rsidRPr="00267BD4">
        <w:rPr>
          <w:rFonts w:ascii="Arial" w:hAnsi="Arial"/>
          <w:b w:val="0"/>
          <w:sz w:val="20"/>
        </w:rPr>
        <w:t>and comparison of final product characteristics.</w:t>
      </w:r>
    </w:p>
    <w:p w:rsidR="00AC5544" w:rsidRDefault="00AC5544"/>
    <w:sectPr w:rsidR="00AC5544" w:rsidSect="006D7F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59A"/>
    <w:multiLevelType w:val="hybridMultilevel"/>
    <w:tmpl w:val="02EA4CCA"/>
    <w:lvl w:ilvl="0" w:tplc="11A42360">
      <w:start w:val="2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>
    <w:nsid w:val="5A4138C5"/>
    <w:multiLevelType w:val="hybridMultilevel"/>
    <w:tmpl w:val="348C6594"/>
    <w:lvl w:ilvl="0" w:tplc="08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">
    <w:nsid w:val="6D1D38D4"/>
    <w:multiLevelType w:val="hybridMultilevel"/>
    <w:tmpl w:val="A1BC5C5E"/>
    <w:lvl w:ilvl="0" w:tplc="2B1E9EA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AE62F4"/>
    <w:rsid w:val="000F79E9"/>
    <w:rsid w:val="00283990"/>
    <w:rsid w:val="004433EA"/>
    <w:rsid w:val="005731BC"/>
    <w:rsid w:val="006D7F55"/>
    <w:rsid w:val="00AC5544"/>
    <w:rsid w:val="00AE62F4"/>
    <w:rsid w:val="00C6624D"/>
    <w:rsid w:val="00E06133"/>
    <w:rsid w:val="00F375D4"/>
    <w:rsid w:val="00F4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2F4"/>
    <w:pPr>
      <w:spacing w:before="80" w:after="40" w:line="240" w:lineRule="auto"/>
      <w:ind w:left="1701" w:hanging="454"/>
      <w:jc w:val="both"/>
    </w:pPr>
    <w:rPr>
      <w:rFonts w:ascii="Arial Narrow" w:hAnsi="Arial Narrow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62F4"/>
    <w:pPr>
      <w:keepNext/>
      <w:widowControl w:val="0"/>
      <w:tabs>
        <w:tab w:val="left" w:pos="555"/>
      </w:tabs>
      <w:outlineLvl w:val="2"/>
    </w:pPr>
    <w:rPr>
      <w:rFonts w:ascii="Arial" w:hAnsi="Arial"/>
      <w:snapToGrid w:val="0"/>
      <w:color w:val="FF000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62F4"/>
    <w:rPr>
      <w:rFonts w:ascii="Arial" w:hAnsi="Arial"/>
      <w:b/>
      <w:snapToGrid w:val="0"/>
      <w:color w:val="FF0000"/>
      <w:sz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Silverani Padayachee</dc:creator>
  <cp:keywords/>
  <dc:description/>
  <cp:lastModifiedBy>Silverani Padayachee</cp:lastModifiedBy>
  <cp:revision>1</cp:revision>
  <dcterms:created xsi:type="dcterms:W3CDTF">2012-03-22T13:39:00Z</dcterms:created>
  <dcterms:modified xsi:type="dcterms:W3CDTF">2012-03-22T13:39:00Z</dcterms:modified>
</cp:coreProperties>
</file>